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40FA9B" w14:textId="1FF3309B" w:rsidR="002E34D2" w:rsidRPr="00646C92" w:rsidRDefault="00646C92">
      <w:pPr>
        <w:rPr>
          <w:sz w:val="24"/>
          <w:szCs w:val="24"/>
        </w:rPr>
      </w:pPr>
      <w:r w:rsidRPr="00265575">
        <w:rPr>
          <w:i/>
          <w:iCs/>
          <w:sz w:val="24"/>
          <w:szCs w:val="24"/>
        </w:rPr>
        <w:t>ФАУ «РосКапСтрой»</w:t>
      </w:r>
      <w:r w:rsidRPr="002655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Центр безопасности и охраны труда </w:t>
      </w:r>
      <w:r w:rsidRPr="00265575">
        <w:rPr>
          <w:sz w:val="24"/>
          <w:szCs w:val="24"/>
        </w:rPr>
        <w:t xml:space="preserve">совместно с </w:t>
      </w:r>
      <w:r w:rsidRPr="00265575">
        <w:rPr>
          <w:i/>
          <w:iCs/>
          <w:sz w:val="24"/>
          <w:szCs w:val="24"/>
        </w:rPr>
        <w:t>Учебно-методическим центром Ростехнадзора</w:t>
      </w:r>
      <w:r w:rsidRPr="00265575">
        <w:rPr>
          <w:sz w:val="24"/>
          <w:szCs w:val="24"/>
        </w:rPr>
        <w:t xml:space="preserve"> объявляют набор слушателей на </w:t>
      </w:r>
      <w:bookmarkStart w:id="0" w:name="_Hlk164350014"/>
      <w:r w:rsidRPr="00265575">
        <w:rPr>
          <w:sz w:val="24"/>
          <w:szCs w:val="24"/>
        </w:rPr>
        <w:t>обучение по программе повышения квалификации</w:t>
      </w:r>
      <w:bookmarkEnd w:id="0"/>
      <w:r w:rsidRPr="00265575">
        <w:rPr>
          <w:b/>
          <w:bCs/>
          <w:sz w:val="24"/>
          <w:szCs w:val="24"/>
        </w:rPr>
        <w:t>:</w:t>
      </w:r>
    </w:p>
    <w:p w14:paraId="5E2C0661" w14:textId="57180ECD" w:rsidR="00646C92" w:rsidRDefault="00646C92" w:rsidP="00646C92">
      <w:pPr>
        <w:rPr>
          <w:sz w:val="24"/>
          <w:szCs w:val="24"/>
        </w:rPr>
      </w:pPr>
      <w:r w:rsidRPr="00265575">
        <w:rPr>
          <w:b/>
          <w:bCs/>
          <w:i/>
          <w:iCs/>
          <w:sz w:val="24"/>
          <w:szCs w:val="24"/>
        </w:rPr>
        <w:t>«Проведение строительного контроля в процессе строительства, реконструкции и капитального ремонта, в т.ч. на особо опасных, технически сложных и уникальных объектах капитального строительства. Охрана труда. Общие правила промышленной безопасности (А.1)»</w:t>
      </w:r>
      <w:r w:rsidRPr="00265575">
        <w:rPr>
          <w:sz w:val="24"/>
          <w:szCs w:val="24"/>
        </w:rPr>
        <w:t xml:space="preserve"> (72 академических часа). </w:t>
      </w:r>
    </w:p>
    <w:p w14:paraId="68F8D203" w14:textId="77777777" w:rsidR="00646C92" w:rsidRDefault="00646C92" w:rsidP="00646C92">
      <w:r w:rsidRPr="00646C92">
        <w:rPr>
          <w:b/>
          <w:bCs/>
        </w:rPr>
        <w:t>Период обучения:</w:t>
      </w:r>
      <w:r>
        <w:t xml:space="preserve"> 15 мая 2024 г. – 27 мая 2024 г.</w:t>
      </w:r>
    </w:p>
    <w:p w14:paraId="04638BC4" w14:textId="77777777" w:rsidR="00646C92" w:rsidRDefault="00646C92" w:rsidP="00646C92">
      <w:r w:rsidRPr="00646C92">
        <w:rPr>
          <w:b/>
          <w:bCs/>
        </w:rPr>
        <w:t>Форма обучения:</w:t>
      </w:r>
      <w:r>
        <w:t xml:space="preserve"> очно-заочная, с применением дистанционных технологий.</w:t>
      </w:r>
    </w:p>
    <w:p w14:paraId="2B6951A5" w14:textId="5B2505ED" w:rsidR="00646C92" w:rsidRPr="00646C92" w:rsidRDefault="00646C92" w:rsidP="00646C92">
      <w:r w:rsidRPr="00646C92">
        <w:rPr>
          <w:b/>
          <w:bCs/>
        </w:rPr>
        <w:t>Объем обучения:</w:t>
      </w:r>
      <w:r>
        <w:t xml:space="preserve"> 72 ч.</w:t>
      </w:r>
    </w:p>
    <w:p w14:paraId="3390ED5C" w14:textId="77777777" w:rsidR="00646C92" w:rsidRPr="00265575" w:rsidRDefault="00646C92" w:rsidP="00646C92">
      <w:pPr>
        <w:jc w:val="both"/>
        <w:rPr>
          <w:b/>
          <w:bCs/>
        </w:rPr>
      </w:pPr>
      <w:r w:rsidRPr="00265575">
        <w:rPr>
          <w:b/>
          <w:bCs/>
        </w:rPr>
        <w:t>Модуль 1. «Проведение строительного контроля</w:t>
      </w:r>
      <w:r w:rsidRPr="00265575">
        <w:t xml:space="preserve"> </w:t>
      </w:r>
      <w:r w:rsidRPr="00265575">
        <w:rPr>
          <w:b/>
          <w:bCs/>
        </w:rPr>
        <w:t>в процессе строительства, реконструкции и капитального ремонта, в т.ч. на особо опасных, технически сложных и уникальных объектах капитального строительства»</w:t>
      </w:r>
    </w:p>
    <w:p w14:paraId="59EEBA76" w14:textId="77777777" w:rsidR="00646C92" w:rsidRPr="00265575" w:rsidRDefault="00646C92" w:rsidP="00646C92">
      <w:pPr>
        <w:pStyle w:val="a3"/>
        <w:numPr>
          <w:ilvl w:val="0"/>
          <w:numId w:val="1"/>
        </w:numPr>
        <w:jc w:val="both"/>
      </w:pPr>
      <w:r w:rsidRPr="00265575">
        <w:t>Организация строительства. Организация и контроль выполнения подготовительных работ на площадке строительства объекта капитального строительства.</w:t>
      </w:r>
    </w:p>
    <w:p w14:paraId="36742B1E" w14:textId="77777777" w:rsidR="00646C92" w:rsidRPr="00265575" w:rsidRDefault="00646C92" w:rsidP="00646C92">
      <w:pPr>
        <w:pStyle w:val="a3"/>
        <w:numPr>
          <w:ilvl w:val="0"/>
          <w:numId w:val="1"/>
        </w:numPr>
        <w:jc w:val="both"/>
      </w:pPr>
      <w:r w:rsidRPr="00265575">
        <w:t>Проведение строительного контроля, ведение общих, специальных журналов, исполнительной и учетной документации в процессе подготовки и строительства объекта капитального строительства</w:t>
      </w:r>
    </w:p>
    <w:p w14:paraId="21A6E71B" w14:textId="77777777" w:rsidR="00646C92" w:rsidRPr="00265575" w:rsidRDefault="00646C92" w:rsidP="00646C92">
      <w:pPr>
        <w:pStyle w:val="a3"/>
        <w:numPr>
          <w:ilvl w:val="0"/>
          <w:numId w:val="1"/>
        </w:numPr>
        <w:jc w:val="both"/>
      </w:pPr>
      <w:r w:rsidRPr="00265575">
        <w:t>Взаимодействие с государственными контрольно-надзорными органами (ГСН и др.)</w:t>
      </w:r>
    </w:p>
    <w:p w14:paraId="1AFCBC0C" w14:textId="77777777" w:rsidR="00646C92" w:rsidRPr="00265575" w:rsidRDefault="00646C92" w:rsidP="00646C92">
      <w:pPr>
        <w:pStyle w:val="a3"/>
        <w:numPr>
          <w:ilvl w:val="0"/>
          <w:numId w:val="1"/>
        </w:numPr>
        <w:jc w:val="both"/>
        <w:rPr>
          <w:i/>
          <w:iCs/>
        </w:rPr>
      </w:pPr>
      <w:r w:rsidRPr="00265575">
        <w:t xml:space="preserve">Ответственность за нарушение требований градостроительного законодательства, договорных отношений. Защита прав юридических и физических лиц. </w:t>
      </w:r>
    </w:p>
    <w:p w14:paraId="6CC6C58A" w14:textId="77777777" w:rsidR="00646C92" w:rsidRPr="00265575" w:rsidRDefault="00646C92" w:rsidP="00646C92">
      <w:pPr>
        <w:jc w:val="both"/>
        <w:rPr>
          <w:b/>
          <w:bCs/>
        </w:rPr>
      </w:pPr>
      <w:r w:rsidRPr="00265575">
        <w:rPr>
          <w:b/>
          <w:bCs/>
        </w:rPr>
        <w:t>Модуль 2. «Общие вопросы охраны труда и функционирования системы управления охраной труда» (программа А)</w:t>
      </w:r>
    </w:p>
    <w:p w14:paraId="20952D48" w14:textId="77777777" w:rsidR="00646C92" w:rsidRPr="00265575" w:rsidRDefault="00646C92" w:rsidP="00646C92">
      <w:pPr>
        <w:pStyle w:val="a3"/>
        <w:numPr>
          <w:ilvl w:val="0"/>
          <w:numId w:val="2"/>
        </w:numPr>
        <w:jc w:val="both"/>
      </w:pPr>
      <w:r w:rsidRPr="00265575">
        <w:t>Основы охраны труда в Российской Федерации</w:t>
      </w:r>
    </w:p>
    <w:p w14:paraId="15F6D73C" w14:textId="77777777" w:rsidR="00646C92" w:rsidRPr="00265575" w:rsidRDefault="00646C92" w:rsidP="00646C92">
      <w:pPr>
        <w:pStyle w:val="a3"/>
        <w:numPr>
          <w:ilvl w:val="0"/>
          <w:numId w:val="2"/>
        </w:numPr>
        <w:jc w:val="both"/>
      </w:pPr>
      <w:r w:rsidRPr="00265575">
        <w:t>Стратегия безопасности труда и охраны здоровья</w:t>
      </w:r>
    </w:p>
    <w:p w14:paraId="39ABD57D" w14:textId="77777777" w:rsidR="00646C92" w:rsidRPr="00265575" w:rsidRDefault="00646C92" w:rsidP="00646C92">
      <w:pPr>
        <w:pStyle w:val="a3"/>
        <w:numPr>
          <w:ilvl w:val="0"/>
          <w:numId w:val="2"/>
        </w:numPr>
        <w:jc w:val="both"/>
      </w:pPr>
      <w:r w:rsidRPr="00265575">
        <w:t>Система управления охраной труда в организации</w:t>
      </w:r>
    </w:p>
    <w:p w14:paraId="35967E63" w14:textId="46BCB04A" w:rsidR="00646C92" w:rsidRPr="00646C92" w:rsidRDefault="00646C92" w:rsidP="00646C92">
      <w:pPr>
        <w:pStyle w:val="a3"/>
        <w:numPr>
          <w:ilvl w:val="0"/>
          <w:numId w:val="2"/>
        </w:numPr>
        <w:jc w:val="both"/>
        <w:rPr>
          <w:i/>
          <w:iCs/>
        </w:rPr>
      </w:pPr>
      <w:r w:rsidRPr="00265575">
        <w:t xml:space="preserve">Расследование и предупреждение несчастных случаев и профессиональных заболеваний. </w:t>
      </w:r>
    </w:p>
    <w:p w14:paraId="697B71E8" w14:textId="77777777" w:rsidR="00646C92" w:rsidRPr="00265575" w:rsidRDefault="00646C92" w:rsidP="00646C92">
      <w:pPr>
        <w:jc w:val="both"/>
        <w:rPr>
          <w:b/>
          <w:bCs/>
        </w:rPr>
      </w:pPr>
      <w:r w:rsidRPr="00265575">
        <w:rPr>
          <w:b/>
          <w:bCs/>
        </w:rPr>
        <w:t>Модуль 3. «Общие правила промышленной безопасности» (А1)</w:t>
      </w:r>
    </w:p>
    <w:p w14:paraId="3FCDB83C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О промышленной безопасности опасных производственных объектов</w:t>
      </w:r>
    </w:p>
    <w:p w14:paraId="52219F4D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Российское законодательство в области проектной документации</w:t>
      </w:r>
    </w:p>
    <w:p w14:paraId="6EE92E14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Техническое регулирование. Требования к техническим устройствам, применяемым на ОПО</w:t>
      </w:r>
    </w:p>
    <w:p w14:paraId="02999EB2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Требования технического регламента</w:t>
      </w:r>
    </w:p>
    <w:p w14:paraId="5A69B5A7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Лицензирование в области промышленной безопасности</w:t>
      </w:r>
    </w:p>
    <w:p w14:paraId="246AC135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Порядок расследования и причин аварий на опасных производственных объектах</w:t>
      </w:r>
    </w:p>
    <w:p w14:paraId="2E82CA33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Обязательное страхование гражданской ответственности за причинение вреда при эксплуатации ОПО</w:t>
      </w:r>
    </w:p>
    <w:p w14:paraId="6A93C5FD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Регистрация ОПО</w:t>
      </w:r>
    </w:p>
    <w:p w14:paraId="421F7558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Обязанности организации в обеспечении промышленной безопасности. Ответственность за нарушение законодательства в области промышленной безопасности</w:t>
      </w:r>
    </w:p>
    <w:p w14:paraId="4BE5832A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</w:pPr>
      <w:r w:rsidRPr="00265575">
        <w:t>Экспертиза промышленной безопасности</w:t>
      </w:r>
    </w:p>
    <w:p w14:paraId="3EE5C610" w14:textId="77777777" w:rsidR="00646C92" w:rsidRPr="00265575" w:rsidRDefault="00646C92" w:rsidP="00646C92">
      <w:pPr>
        <w:pStyle w:val="a3"/>
        <w:numPr>
          <w:ilvl w:val="0"/>
          <w:numId w:val="3"/>
        </w:numPr>
        <w:jc w:val="both"/>
        <w:rPr>
          <w:i/>
          <w:iCs/>
        </w:rPr>
      </w:pPr>
      <w:r w:rsidRPr="00265575">
        <w:t xml:space="preserve">Декларирование промышленной безопасности. Анализ опасности и риска. </w:t>
      </w:r>
    </w:p>
    <w:p w14:paraId="22854E1D" w14:textId="77777777" w:rsidR="00646C92" w:rsidRDefault="00646C92"/>
    <w:sectPr w:rsidR="00646C92" w:rsidSect="00646C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3DC6EA" w14:textId="77777777" w:rsidR="00646C92" w:rsidRDefault="00646C92" w:rsidP="00646C92">
      <w:pPr>
        <w:spacing w:after="0" w:line="240" w:lineRule="auto"/>
      </w:pPr>
      <w:r>
        <w:separator/>
      </w:r>
    </w:p>
  </w:endnote>
  <w:endnote w:type="continuationSeparator" w:id="0">
    <w:p w14:paraId="1A4B84A2" w14:textId="77777777" w:rsidR="00646C92" w:rsidRDefault="00646C92" w:rsidP="00646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7618C5" w14:textId="77777777" w:rsidR="00646C92" w:rsidRDefault="00646C92" w:rsidP="00646C92">
      <w:pPr>
        <w:spacing w:after="0" w:line="240" w:lineRule="auto"/>
      </w:pPr>
      <w:r>
        <w:separator/>
      </w:r>
    </w:p>
  </w:footnote>
  <w:footnote w:type="continuationSeparator" w:id="0">
    <w:p w14:paraId="2A082BF3" w14:textId="77777777" w:rsidR="00646C92" w:rsidRDefault="00646C92" w:rsidP="00646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46346"/>
    <w:multiLevelType w:val="hybridMultilevel"/>
    <w:tmpl w:val="5B64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112F4"/>
    <w:multiLevelType w:val="hybridMultilevel"/>
    <w:tmpl w:val="1E7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A660C"/>
    <w:multiLevelType w:val="hybridMultilevel"/>
    <w:tmpl w:val="5D120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106004">
    <w:abstractNumId w:val="0"/>
  </w:num>
  <w:num w:numId="2" w16cid:durableId="330379094">
    <w:abstractNumId w:val="1"/>
  </w:num>
  <w:num w:numId="3" w16cid:durableId="1738212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92"/>
    <w:rsid w:val="002E34D2"/>
    <w:rsid w:val="00385C9D"/>
    <w:rsid w:val="004B351D"/>
    <w:rsid w:val="0064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1041"/>
  <w15:chartTrackingRefBased/>
  <w15:docId w15:val="{5CB04460-2C27-4021-8311-35EDCEA4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C9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46C9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46C9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46C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Юлия Николаевна</dc:creator>
  <cp:keywords/>
  <dc:description/>
  <cp:lastModifiedBy>Богомолова Юлия Николаевна</cp:lastModifiedBy>
  <cp:revision>1</cp:revision>
  <dcterms:created xsi:type="dcterms:W3CDTF">2024-04-22T07:42:00Z</dcterms:created>
  <dcterms:modified xsi:type="dcterms:W3CDTF">2024-04-22T07:46:00Z</dcterms:modified>
</cp:coreProperties>
</file>